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DB241" w14:textId="77777777" w:rsidR="00190893" w:rsidRDefault="00190893" w:rsidP="00190893">
      <w:r>
        <w:drawing>
          <wp:anchor distT="0" distB="0" distL="114300" distR="114300" simplePos="0" relativeHeight="251656192" behindDoc="1" locked="0" layoutInCell="1" allowOverlap="1" wp14:anchorId="418C9E22" wp14:editId="4A9B53EB">
            <wp:simplePos x="0" y="0"/>
            <wp:positionH relativeFrom="margin">
              <wp:posOffset>3810000</wp:posOffset>
            </wp:positionH>
            <wp:positionV relativeFrom="paragraph">
              <wp:posOffset>-31750</wp:posOffset>
            </wp:positionV>
            <wp:extent cx="1701800" cy="906780"/>
            <wp:effectExtent l="0" t="0" r="0" b="7620"/>
            <wp:wrapNone/>
            <wp:docPr id="4" name="תמונה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01800" cy="90678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7216" behindDoc="1" locked="0" layoutInCell="1" allowOverlap="1" wp14:anchorId="43EF48D8" wp14:editId="4DCA6494">
            <wp:simplePos x="0" y="0"/>
            <wp:positionH relativeFrom="margin">
              <wp:posOffset>1966595</wp:posOffset>
            </wp:positionH>
            <wp:positionV relativeFrom="paragraph">
              <wp:posOffset>-152400</wp:posOffset>
            </wp:positionV>
            <wp:extent cx="1295400" cy="558800"/>
            <wp:effectExtent l="0" t="0" r="0" b="0"/>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295400" cy="558800"/>
                    </a:xfrm>
                    <a:prstGeom prst="rect">
                      <a:avLst/>
                    </a:prstGeom>
                    <a:noFill/>
                  </pic:spPr>
                </pic:pic>
              </a:graphicData>
            </a:graphic>
            <wp14:sizeRelH relativeFrom="page">
              <wp14:pctWidth>0</wp14:pctWidth>
            </wp14:sizeRelH>
            <wp14:sizeRelV relativeFrom="page">
              <wp14:pctHeight>0</wp14:pctHeight>
            </wp14:sizeRelV>
          </wp:anchor>
        </w:drawing>
      </w:r>
      <w:r>
        <w:drawing>
          <wp:anchor distT="0" distB="0" distL="114300" distR="114300" simplePos="0" relativeHeight="251658240" behindDoc="1" locked="0" layoutInCell="1" allowOverlap="1" wp14:anchorId="688160FF" wp14:editId="467311AB">
            <wp:simplePos x="0" y="0"/>
            <wp:positionH relativeFrom="column">
              <wp:posOffset>-29845</wp:posOffset>
            </wp:positionH>
            <wp:positionV relativeFrom="paragraph">
              <wp:posOffset>0</wp:posOffset>
            </wp:positionV>
            <wp:extent cx="1217295" cy="365760"/>
            <wp:effectExtent l="0" t="0" r="1905" b="0"/>
            <wp:wrapTight wrapText="bothSides">
              <wp:wrapPolygon edited="0">
                <wp:start x="0" y="0"/>
                <wp:lineTo x="0" y="20250"/>
                <wp:lineTo x="20958" y="20250"/>
                <wp:lineTo x="21296" y="14625"/>
                <wp:lineTo x="16901" y="0"/>
                <wp:lineTo x="5070" y="0"/>
                <wp:lineTo x="0" y="0"/>
              </wp:wrapPolygon>
            </wp:wrapTight>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1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7295" cy="365760"/>
                    </a:xfrm>
                    <a:prstGeom prst="rect">
                      <a:avLst/>
                    </a:prstGeom>
                    <a:noFill/>
                  </pic:spPr>
                </pic:pic>
              </a:graphicData>
            </a:graphic>
            <wp14:sizeRelH relativeFrom="page">
              <wp14:pctWidth>0</wp14:pctWidth>
            </wp14:sizeRelH>
            <wp14:sizeRelV relativeFrom="page">
              <wp14:pctHeight>0</wp14:pctHeight>
            </wp14:sizeRelV>
          </wp:anchor>
        </w:drawing>
      </w:r>
    </w:p>
    <w:p w14:paraId="38DC27C1" w14:textId="77777777" w:rsidR="00190893" w:rsidRDefault="00190893" w:rsidP="00190893">
      <w:pPr>
        <w:rPr>
          <w:rtl/>
        </w:rPr>
      </w:pPr>
    </w:p>
    <w:p w14:paraId="70EDDD2B" w14:textId="77777777" w:rsidR="00190893" w:rsidRDefault="00190893" w:rsidP="00190893">
      <w:pPr>
        <w:ind w:firstLine="720"/>
        <w:rPr>
          <w:rtl/>
        </w:rPr>
      </w:pPr>
    </w:p>
    <w:p w14:paraId="704AB474" w14:textId="77777777" w:rsidR="00190893" w:rsidRDefault="00190893" w:rsidP="00190893">
      <w:pPr>
        <w:rPr>
          <w:rtl/>
        </w:rPr>
      </w:pPr>
      <w:r>
        <w:rPr>
          <w:rtl/>
        </w:rPr>
        <mc:AlternateContent>
          <mc:Choice Requires="wps">
            <w:drawing>
              <wp:anchor distT="45720" distB="45720" distL="114300" distR="114300" simplePos="0" relativeHeight="251659264" behindDoc="0" locked="0" layoutInCell="1" allowOverlap="1" wp14:anchorId="4779B0B3" wp14:editId="227CAC3B">
                <wp:simplePos x="0" y="0"/>
                <wp:positionH relativeFrom="margin">
                  <wp:posOffset>-182880</wp:posOffset>
                </wp:positionH>
                <wp:positionV relativeFrom="paragraph">
                  <wp:posOffset>53340</wp:posOffset>
                </wp:positionV>
                <wp:extent cx="1470660" cy="441960"/>
                <wp:effectExtent l="0" t="0" r="0" b="0"/>
                <wp:wrapNone/>
                <wp:docPr id="3" name="תיבת טקסט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70660" cy="441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78068C4" w14:textId="77777777" w:rsidR="00190893" w:rsidRDefault="00190893" w:rsidP="00190893">
                            <w:pPr>
                              <w:ind w:left="-262"/>
                              <w:jc w:val="center"/>
                              <w:rPr>
                                <w:rFonts w:ascii="Tahoma" w:hAnsi="Tahoma" w:cs="Tahoma"/>
                                <w:b/>
                                <w:bCs/>
                              </w:rPr>
                            </w:pPr>
                            <w:r>
                              <w:rPr>
                                <w:rFonts w:ascii="Tahoma" w:hAnsi="Tahoma" w:cs="Tahoma"/>
                                <w:b/>
                                <w:bCs/>
                                <w:rtl/>
                              </w:rPr>
                              <w:t>רשות מקרקעי ישראל</w:t>
                            </w:r>
                          </w:p>
                          <w:p w14:paraId="343FF581" w14:textId="77777777" w:rsidR="00190893" w:rsidRDefault="00190893" w:rsidP="00190893">
                            <w:pPr>
                              <w:ind w:left="-262"/>
                              <w:jc w:val="center"/>
                              <w:rPr>
                                <w:rFonts w:ascii="Tahoma" w:hAnsi="Tahoma" w:cs="Tahoma"/>
                                <w:b/>
                                <w:bCs/>
                                <w:rtl/>
                              </w:rPr>
                            </w:pPr>
                            <w:r>
                              <w:rPr>
                                <w:rFonts w:ascii="Tahoma" w:hAnsi="Tahoma" w:cs="Tahoma"/>
                                <w:b/>
                                <w:bCs/>
                                <w:rtl/>
                              </w:rPr>
                              <w:t>מרחב עסקי מרכז</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779B0B3" id="_x0000_t202" coordsize="21600,21600" o:spt="202" path="m,l,21600r21600,l21600,xe">
                <v:stroke joinstyle="miter"/>
                <v:path gradientshapeok="t" o:connecttype="rect"/>
              </v:shapetype>
              <v:shape id="תיבת טקסט 3" o:spid="_x0000_s1026" type="#_x0000_t202" style="position:absolute;left:0;text-align:left;margin-left:-14.4pt;margin-top:4.2pt;width:115.8pt;height:34.8pt;flip:x;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" stroked="f">
                <v:textbox>
                  <w:txbxContent>
                    <w:p w14:paraId="178068C4" w14:textId="77777777" w:rsidR="00190893" w:rsidRDefault="00190893" w:rsidP="00190893">
                      <w:pPr>
                        <w:ind w:left="-262"/>
                        <w:jc w:val="center"/>
                        <w:rPr>
                          <w:rFonts w:ascii="Tahoma" w:hAnsi="Tahoma" w:cs="Tahoma"/>
                          <w:b/>
                          <w:bCs/>
                        </w:rPr>
                      </w:pPr>
                      <w:r>
                        <w:rPr>
                          <w:rFonts w:ascii="Tahoma" w:hAnsi="Tahoma" w:cs="Tahoma"/>
                          <w:b/>
                          <w:bCs/>
                          <w:rtl/>
                        </w:rPr>
                        <w:t>רשות מקרקעי ישראל</w:t>
                      </w:r>
                    </w:p>
                    <w:p w14:paraId="343FF581" w14:textId="77777777" w:rsidR="00190893" w:rsidRDefault="00190893" w:rsidP="00190893">
                      <w:pPr>
                        <w:ind w:left="-262"/>
                        <w:jc w:val="center"/>
                        <w:rPr>
                          <w:rFonts w:ascii="Tahoma" w:hAnsi="Tahoma" w:cs="Tahoma"/>
                          <w:b/>
                          <w:bCs/>
                          <w:rtl/>
                        </w:rPr>
                      </w:pPr>
                      <w:r>
                        <w:rPr>
                          <w:rFonts w:ascii="Tahoma" w:hAnsi="Tahoma" w:cs="Tahoma"/>
                          <w:b/>
                          <w:bCs/>
                          <w:rtl/>
                        </w:rPr>
                        <w:t>מרחב עסקי מרכז</w:t>
                      </w:r>
                    </w:p>
                  </w:txbxContent>
                </v:textbox>
                <w10:wrap anchorx="margin"/>
              </v:shape>
            </w:pict>
          </mc:Fallback>
        </mc:AlternateContent>
      </w:r>
    </w:p>
    <w:p w14:paraId="7CF9AD77" w14:textId="77777777" w:rsidR="00190893" w:rsidRDefault="00190893" w:rsidP="00190893">
      <w:pPr>
        <w:jc w:val="center"/>
        <w:rPr>
          <w:rFonts w:ascii="David" w:hAnsi="David" w:cs="David"/>
          <w:b/>
          <w:bCs/>
          <w:sz w:val="24"/>
          <w:szCs w:val="24"/>
          <w:rtl/>
        </w:rPr>
      </w:pPr>
    </w:p>
    <w:p w14:paraId="11809AA8" w14:textId="77777777" w:rsidR="00190893" w:rsidRDefault="00190893" w:rsidP="00190893">
      <w:pPr>
        <w:pStyle w:val="1"/>
        <w:ind w:left="84"/>
        <w:rPr>
          <w:rFonts w:ascii="David" w:hAnsi="David" w:cs="David"/>
          <w:b w:val="0"/>
          <w:bCs w:val="0"/>
          <w:noProof w:val="0"/>
          <w:sz w:val="24"/>
          <w:szCs w:val="24"/>
          <w:rtl/>
        </w:rPr>
      </w:pPr>
    </w:p>
    <w:p w14:paraId="0DB9CC37" w14:textId="77777777" w:rsidR="00190893" w:rsidRDefault="00190893" w:rsidP="00190893">
      <w:pPr>
        <w:pStyle w:val="1"/>
        <w:ind w:left="84"/>
        <w:rPr>
          <w:rFonts w:ascii="Tahoma" w:hAnsi="Tahoma" w:cs="Tahoma"/>
          <w:b w:val="0"/>
          <w:bCs w:val="0"/>
          <w:noProof w:val="0"/>
          <w:color w:val="538135" w:themeColor="accent6" w:themeShade="BF"/>
          <w:sz w:val="32"/>
          <w:szCs w:val="32"/>
          <w:rtl/>
        </w:rPr>
      </w:pPr>
    </w:p>
    <w:p w14:paraId="2F4EB2F5" w14:textId="77777777" w:rsidR="00E101B4" w:rsidRDefault="00E101B4" w:rsidP="00E101B4">
      <w:pPr>
        <w:jc w:val="center"/>
        <w:rPr>
          <w:rFonts w:ascii="Tahoma" w:hAnsi="Tahoma" w:cs="Tahoma"/>
          <w:b/>
          <w:bCs/>
          <w:sz w:val="32"/>
          <w:szCs w:val="32"/>
          <w:u w:val="single"/>
          <w:rtl/>
        </w:rPr>
      </w:pPr>
      <w:r>
        <w:rPr>
          <w:rFonts w:ascii="Tahoma" w:hAnsi="Tahoma" w:cs="Tahoma" w:hint="cs"/>
          <w:b/>
          <w:bCs/>
          <w:sz w:val="32"/>
          <w:szCs w:val="32"/>
          <w:u w:val="single"/>
          <w:rtl/>
        </w:rPr>
        <w:t xml:space="preserve">מודעת עדכון </w:t>
      </w:r>
    </w:p>
    <w:p w14:paraId="37081021" w14:textId="77777777" w:rsidR="00190893" w:rsidRPr="00051E19" w:rsidRDefault="00190893" w:rsidP="00190893">
      <w:pPr>
        <w:pStyle w:val="1"/>
        <w:ind w:left="84"/>
        <w:rPr>
          <w:rFonts w:ascii="David" w:hAnsi="David" w:cs="David"/>
          <w:noProof w:val="0"/>
          <w:sz w:val="24"/>
          <w:szCs w:val="24"/>
          <w:rtl/>
        </w:rPr>
      </w:pPr>
    </w:p>
    <w:p w14:paraId="4B5F971B" w14:textId="77777777" w:rsidR="00190893" w:rsidRPr="00051E19" w:rsidRDefault="00190893" w:rsidP="00190893">
      <w:pPr>
        <w:pStyle w:val="1"/>
        <w:ind w:left="84"/>
        <w:rPr>
          <w:rFonts w:ascii="Tahoma" w:hAnsi="Tahoma" w:cs="Tahoma"/>
          <w:noProof w:val="0"/>
          <w:sz w:val="24"/>
          <w:szCs w:val="24"/>
          <w:rtl/>
        </w:rPr>
      </w:pPr>
      <w:r w:rsidRPr="00051E19">
        <w:rPr>
          <w:rFonts w:ascii="Tahoma" w:hAnsi="Tahoma" w:cs="Tahoma"/>
          <w:noProof w:val="0"/>
          <w:sz w:val="24"/>
          <w:szCs w:val="24"/>
          <w:rtl/>
        </w:rPr>
        <w:t xml:space="preserve">הזמנה לקבלת הצעות </w:t>
      </w:r>
      <w:bookmarkStart w:id="0" w:name="מכר_1"/>
      <w:bookmarkStart w:id="1" w:name="ממי_הזמנה"/>
      <w:r w:rsidRPr="00051E19">
        <w:rPr>
          <w:rFonts w:ascii="Tahoma" w:hAnsi="Tahoma" w:cs="Tahoma"/>
          <w:noProof w:val="0"/>
          <w:sz w:val="24"/>
          <w:szCs w:val="24"/>
          <w:rtl/>
        </w:rPr>
        <w:t xml:space="preserve">במכרז פומבי </w:t>
      </w:r>
    </w:p>
    <w:p w14:paraId="2D34CDD6" w14:textId="77777777" w:rsidR="00190893" w:rsidRPr="00051E19" w:rsidRDefault="00190893" w:rsidP="00190893">
      <w:pPr>
        <w:pStyle w:val="1"/>
        <w:ind w:left="84"/>
        <w:rPr>
          <w:rFonts w:ascii="Tahoma" w:hAnsi="Tahoma" w:cs="Tahoma"/>
          <w:noProof w:val="0"/>
          <w:sz w:val="24"/>
          <w:szCs w:val="24"/>
          <w:rtl/>
        </w:rPr>
      </w:pPr>
      <w:r w:rsidRPr="00051E19">
        <w:rPr>
          <w:rFonts w:ascii="Tahoma" w:hAnsi="Tahoma" w:cs="Tahoma"/>
          <w:noProof w:val="0"/>
          <w:sz w:val="24"/>
          <w:szCs w:val="24"/>
          <w:rtl/>
        </w:rPr>
        <w:t xml:space="preserve">לרכישת זכויות </w:t>
      </w:r>
      <w:bookmarkEnd w:id="0"/>
      <w:r w:rsidRPr="00051E19">
        <w:rPr>
          <w:rFonts w:ascii="Tahoma" w:hAnsi="Tahoma" w:cs="Tahoma"/>
          <w:noProof w:val="0"/>
          <w:sz w:val="24"/>
          <w:szCs w:val="24"/>
          <w:rtl/>
        </w:rPr>
        <w:t xml:space="preserve">חכירה </w:t>
      </w:r>
    </w:p>
    <w:p w14:paraId="5DC95B37" w14:textId="7F64E3CE" w:rsidR="00190893" w:rsidRPr="00051E19" w:rsidRDefault="00190893" w:rsidP="00190893">
      <w:pPr>
        <w:pStyle w:val="1"/>
        <w:ind w:left="84"/>
        <w:rPr>
          <w:rFonts w:ascii="Tahoma" w:hAnsi="Tahoma" w:cs="Tahoma"/>
          <w:noProof w:val="0"/>
          <w:sz w:val="24"/>
          <w:szCs w:val="24"/>
          <w:rtl/>
        </w:rPr>
      </w:pPr>
      <w:r w:rsidRPr="00051E19">
        <w:rPr>
          <w:rFonts w:ascii="Tahoma" w:hAnsi="Tahoma" w:cs="Tahoma"/>
          <w:noProof w:val="0"/>
          <w:sz w:val="24"/>
          <w:szCs w:val="24"/>
          <w:rtl/>
        </w:rPr>
        <w:t xml:space="preserve">להקמת מתחם מגורים הכולל </w:t>
      </w:r>
      <w:r w:rsidRPr="00051E19">
        <w:rPr>
          <w:rFonts w:ascii="Tahoma" w:hAnsi="Tahoma" w:cs="Tahoma"/>
          <w:sz w:val="24"/>
          <w:szCs w:val="24"/>
          <w:rtl/>
        </w:rPr>
        <w:t>136</w:t>
      </w:r>
      <w:r w:rsidRPr="00051E19">
        <w:rPr>
          <w:rFonts w:ascii="Tahoma" w:hAnsi="Tahoma" w:cs="Tahoma"/>
          <w:noProof w:val="0"/>
          <w:sz w:val="24"/>
          <w:szCs w:val="24"/>
          <w:rtl/>
        </w:rPr>
        <w:t xml:space="preserve"> יח"ד לבניה רוויה, למטרת השכרה לטווח ארוך למשך </w:t>
      </w:r>
      <w:r w:rsidR="001D47F3" w:rsidRPr="00051E19">
        <w:rPr>
          <w:rFonts w:ascii="Tahoma" w:hAnsi="Tahoma" w:cs="Tahoma" w:hint="cs"/>
          <w:sz w:val="24"/>
          <w:szCs w:val="24"/>
          <w:rtl/>
        </w:rPr>
        <w:t>20</w:t>
      </w:r>
      <w:r w:rsidRPr="00051E19">
        <w:rPr>
          <w:rFonts w:ascii="Tahoma" w:hAnsi="Tahoma" w:cs="Tahoma"/>
          <w:noProof w:val="0"/>
          <w:sz w:val="24"/>
          <w:szCs w:val="24"/>
          <w:rtl/>
        </w:rPr>
        <w:t xml:space="preserve"> שנה, </w:t>
      </w:r>
      <w:bookmarkEnd w:id="1"/>
      <w:r w:rsidRPr="00051E19">
        <w:rPr>
          <w:rFonts w:ascii="Tahoma" w:hAnsi="Tahoma" w:cs="Tahoma"/>
          <w:noProof w:val="0"/>
          <w:sz w:val="24"/>
          <w:szCs w:val="24"/>
          <w:rtl/>
        </w:rPr>
        <w:t xml:space="preserve">ולניהול ולהפעלה של פרויקט דירה להשכיר במתחם </w:t>
      </w:r>
      <w:r w:rsidRPr="00051E19">
        <w:rPr>
          <w:rFonts w:ascii="Tahoma" w:hAnsi="Tahoma" w:cs="Tahoma"/>
          <w:sz w:val="24"/>
          <w:szCs w:val="24"/>
          <w:rtl/>
        </w:rPr>
        <w:t>החצבים</w:t>
      </w:r>
      <w:r w:rsidRPr="00051E19">
        <w:rPr>
          <w:rFonts w:ascii="Tahoma" w:hAnsi="Tahoma" w:cs="Tahoma"/>
          <w:noProof w:val="0"/>
          <w:sz w:val="24"/>
          <w:szCs w:val="24"/>
          <w:rtl/>
        </w:rPr>
        <w:t>, ב</w:t>
      </w:r>
      <w:r w:rsidRPr="00051E19">
        <w:rPr>
          <w:rFonts w:ascii="Tahoma" w:hAnsi="Tahoma" w:cs="Tahoma"/>
          <w:sz w:val="24"/>
          <w:szCs w:val="24"/>
          <w:rtl/>
        </w:rPr>
        <w:t>ראשון לציון</w:t>
      </w:r>
    </w:p>
    <w:p w14:paraId="10BD29F8" w14:textId="77777777" w:rsidR="00190893" w:rsidRPr="00051E19" w:rsidRDefault="00190893" w:rsidP="00190893">
      <w:pPr>
        <w:pStyle w:val="1"/>
        <w:ind w:left="84"/>
        <w:rPr>
          <w:rFonts w:ascii="Tahoma" w:hAnsi="Tahoma" w:cs="Tahoma"/>
          <w:noProof w:val="0"/>
          <w:sz w:val="24"/>
          <w:szCs w:val="24"/>
          <w:rtl/>
        </w:rPr>
      </w:pPr>
    </w:p>
    <w:p w14:paraId="43FFD288" w14:textId="77777777" w:rsidR="00190893" w:rsidRPr="00051E19" w:rsidRDefault="00190893" w:rsidP="00190893">
      <w:pPr>
        <w:pStyle w:val="1"/>
        <w:ind w:left="84"/>
        <w:rPr>
          <w:rFonts w:ascii="Tahoma" w:hAnsi="Tahoma" w:cs="Tahoma"/>
          <w:noProof w:val="0"/>
          <w:szCs w:val="20"/>
          <w:u w:val="single"/>
          <w:rtl/>
        </w:rPr>
      </w:pPr>
      <w:r w:rsidRPr="00051E19">
        <w:rPr>
          <w:rFonts w:ascii="Tahoma" w:hAnsi="Tahoma" w:cs="Tahoma"/>
          <w:noProof w:val="0"/>
          <w:u w:val="single"/>
          <w:rtl/>
        </w:rPr>
        <w:t xml:space="preserve">מכרז מספר </w:t>
      </w:r>
      <w:r w:rsidR="009432BD" w:rsidRPr="00051E19">
        <w:rPr>
          <w:rFonts w:ascii="Tahoma" w:hAnsi="Tahoma" w:cs="Tahoma" w:hint="cs"/>
          <w:u w:val="single"/>
        </w:rPr>
        <w:t xml:space="preserve"> </w:t>
      </w:r>
      <w:r w:rsidR="009432BD" w:rsidRPr="00051E19">
        <w:rPr>
          <w:rFonts w:ascii="Tahoma" w:hAnsi="Tahoma" w:cs="Tahoma" w:hint="cs"/>
          <w:u w:val="single"/>
          <w:rtl/>
        </w:rPr>
        <w:t>מר/347/2023</w:t>
      </w:r>
    </w:p>
    <w:p w14:paraId="483C712A" w14:textId="77777777" w:rsidR="00190893" w:rsidRDefault="00190893" w:rsidP="00190893">
      <w:pPr>
        <w:jc w:val="both"/>
        <w:rPr>
          <w:rFonts w:ascii="Tahoma" w:hAnsi="Tahoma" w:cs="Tahoma"/>
        </w:rPr>
      </w:pPr>
    </w:p>
    <w:p w14:paraId="57EADCBF" w14:textId="4A957492" w:rsidR="00E101B4" w:rsidRDefault="00190893" w:rsidP="00190893">
      <w:pPr>
        <w:jc w:val="both"/>
        <w:rPr>
          <w:rFonts w:ascii="Tahoma" w:hAnsi="Tahoma" w:cs="Tahoma"/>
          <w:rtl/>
        </w:rPr>
      </w:pPr>
      <w:r>
        <w:rPr>
          <w:rFonts w:ascii="Tahoma" w:hAnsi="Tahoma" w:cs="Tahoma"/>
          <w:rtl/>
        </w:rPr>
        <w:t>דירה להשכיר – החברה הממשלתית לדיור ולהשכרה בע"מ</w:t>
      </w:r>
      <w:r w:rsidR="00051E19">
        <w:rPr>
          <w:rFonts w:ascii="Tahoma" w:hAnsi="Tahoma" w:cs="Tahoma" w:hint="cs"/>
          <w:rtl/>
        </w:rPr>
        <w:t xml:space="preserve"> (להלן: "</w:t>
      </w:r>
      <w:r w:rsidR="00051E19" w:rsidRPr="00051E19">
        <w:rPr>
          <w:rFonts w:ascii="Tahoma" w:hAnsi="Tahoma" w:cs="Tahoma" w:hint="cs"/>
          <w:b/>
          <w:bCs/>
          <w:rtl/>
        </w:rPr>
        <w:t>דירה להשכיר</w:t>
      </w:r>
      <w:r w:rsidR="00051E19">
        <w:rPr>
          <w:rFonts w:ascii="Tahoma" w:hAnsi="Tahoma" w:cs="Tahoma" w:hint="cs"/>
          <w:rtl/>
        </w:rPr>
        <w:t>")</w:t>
      </w:r>
      <w:r>
        <w:rPr>
          <w:rFonts w:ascii="Tahoma" w:hAnsi="Tahoma" w:cs="Tahoma"/>
          <w:rtl/>
        </w:rPr>
        <w:t xml:space="preserve"> </w:t>
      </w:r>
      <w:r w:rsidR="00E101B4">
        <w:rPr>
          <w:rFonts w:ascii="Tahoma" w:hAnsi="Tahoma" w:cs="Tahoma" w:hint="cs"/>
          <w:rtl/>
        </w:rPr>
        <w:t>ו</w:t>
      </w:r>
      <w:r>
        <w:rPr>
          <w:rFonts w:ascii="Tahoma" w:hAnsi="Tahoma" w:cs="Tahoma"/>
          <w:rtl/>
        </w:rPr>
        <w:t xml:space="preserve">רשות מקרקעי ישראל </w:t>
      </w:r>
      <w:r w:rsidR="00051E19">
        <w:rPr>
          <w:rFonts w:ascii="Tahoma" w:hAnsi="Tahoma" w:cs="Tahoma" w:hint="cs"/>
          <w:rtl/>
        </w:rPr>
        <w:t>(להלן: "</w:t>
      </w:r>
      <w:r w:rsidR="00051E19" w:rsidRPr="00051E19">
        <w:rPr>
          <w:rFonts w:ascii="Tahoma" w:hAnsi="Tahoma" w:cs="Tahoma" w:hint="cs"/>
          <w:b/>
          <w:bCs/>
          <w:rtl/>
        </w:rPr>
        <w:t>הרשות</w:t>
      </w:r>
      <w:r w:rsidR="00051E19">
        <w:rPr>
          <w:rFonts w:ascii="Tahoma" w:hAnsi="Tahoma" w:cs="Tahoma" w:hint="cs"/>
          <w:rtl/>
        </w:rPr>
        <w:t xml:space="preserve">") </w:t>
      </w:r>
      <w:r w:rsidR="00E101B4">
        <w:rPr>
          <w:rFonts w:ascii="Tahoma" w:hAnsi="Tahoma" w:cs="Tahoma" w:hint="cs"/>
          <w:rtl/>
        </w:rPr>
        <w:t>מעדכנ</w:t>
      </w:r>
      <w:r w:rsidR="00051E19">
        <w:rPr>
          <w:rFonts w:ascii="Tahoma" w:hAnsi="Tahoma" w:cs="Tahoma" w:hint="cs"/>
          <w:rtl/>
        </w:rPr>
        <w:t>ות</w:t>
      </w:r>
      <w:r w:rsidR="00E101B4">
        <w:rPr>
          <w:rFonts w:ascii="Tahoma" w:hAnsi="Tahoma" w:cs="Tahoma" w:hint="cs"/>
          <w:rtl/>
        </w:rPr>
        <w:t xml:space="preserve"> בזאת כי בהזמנה לקבלת הצעות יבוצעו התיקונים הבאים:</w:t>
      </w:r>
    </w:p>
    <w:p w14:paraId="0A26BC21" w14:textId="77777777" w:rsidR="00E101B4" w:rsidRDefault="00E101B4" w:rsidP="00190893">
      <w:pPr>
        <w:jc w:val="both"/>
        <w:rPr>
          <w:rFonts w:ascii="Tahoma" w:hAnsi="Tahoma" w:cs="Tahoma"/>
          <w:rtl/>
        </w:rPr>
      </w:pPr>
    </w:p>
    <w:p w14:paraId="7B179350" w14:textId="7F0083D3" w:rsidR="00100EFC" w:rsidRDefault="00E101B4" w:rsidP="00E101B4">
      <w:pPr>
        <w:pStyle w:val="a6"/>
        <w:numPr>
          <w:ilvl w:val="0"/>
          <w:numId w:val="1"/>
        </w:numPr>
        <w:jc w:val="both"/>
        <w:rPr>
          <w:rFonts w:ascii="Tahoma" w:hAnsi="Tahoma" w:cs="Tahoma"/>
        </w:rPr>
      </w:pPr>
      <w:r>
        <w:rPr>
          <w:rFonts w:ascii="Tahoma" w:hAnsi="Tahoma" w:cs="Tahoma" w:hint="cs"/>
          <w:rtl/>
        </w:rPr>
        <w:t>סעיף 4.8.6 להזמנה לקבלת הצעות בטל ומבוטל ובמקומו יבוא</w:t>
      </w:r>
      <w:r w:rsidR="00100EFC">
        <w:rPr>
          <w:rFonts w:ascii="Tahoma" w:hAnsi="Tahoma" w:cs="Tahoma" w:hint="cs"/>
          <w:rtl/>
        </w:rPr>
        <w:t>ו הסעיפים הבאים</w:t>
      </w:r>
      <w:r>
        <w:rPr>
          <w:rFonts w:ascii="Tahoma" w:hAnsi="Tahoma" w:cs="Tahoma" w:hint="cs"/>
          <w:rtl/>
        </w:rPr>
        <w:t>:</w:t>
      </w:r>
    </w:p>
    <w:p w14:paraId="61F07FF7" w14:textId="77777777" w:rsidR="00100EFC" w:rsidRDefault="00100EFC" w:rsidP="00100EFC">
      <w:pPr>
        <w:pStyle w:val="a6"/>
        <w:jc w:val="both"/>
        <w:rPr>
          <w:rFonts w:ascii="Tahoma" w:hAnsi="Tahoma" w:cs="Tahoma"/>
        </w:rPr>
      </w:pPr>
    </w:p>
    <w:p w14:paraId="674BF098" w14:textId="0E6E33F5" w:rsidR="00E101B4" w:rsidRDefault="00100EFC" w:rsidP="00100EFC">
      <w:pPr>
        <w:pStyle w:val="a6"/>
        <w:ind w:left="1449" w:hanging="728"/>
        <w:jc w:val="both"/>
        <w:rPr>
          <w:rFonts w:ascii="Tahoma" w:hAnsi="Tahoma" w:cs="Tahoma"/>
          <w:rtl/>
        </w:rPr>
      </w:pPr>
      <w:r>
        <w:rPr>
          <w:rFonts w:ascii="Tahoma" w:hAnsi="Tahoma" w:cs="Tahoma" w:hint="cs"/>
          <w:rtl/>
        </w:rPr>
        <w:t xml:space="preserve">4.8.6. </w:t>
      </w:r>
      <w:r>
        <w:rPr>
          <w:rFonts w:ascii="Tahoma" w:hAnsi="Tahoma" w:cs="Tahoma"/>
          <w:rtl/>
        </w:rPr>
        <w:tab/>
      </w:r>
      <w:r w:rsidR="00E101B4" w:rsidRPr="00E101B4">
        <w:rPr>
          <w:rFonts w:ascii="Tahoma" w:hAnsi="Tahoma" w:cs="Tahoma"/>
          <w:rtl/>
        </w:rPr>
        <w:t>ביחס לחוזה החכירה המצורף כחלק מחוברת המכרז, מובהר בזה כי זכות החוכר לרשום הערות בגין העברת זכויות כמפורט בפסקה האחרונה בסעיף 7 לחוזה החכירה, לא תחול אלא בתום תקופת ההשכרה. כמו כן, זכות הביטול המוקנית לחוכר כמפורט בסעיף 11(ב)(3) לחוזה החכירה, לא תחול כלל</w:t>
      </w:r>
      <w:r w:rsidR="00E101B4">
        <w:rPr>
          <w:rFonts w:ascii="Tahoma" w:hAnsi="Tahoma" w:cs="Tahoma" w:hint="cs"/>
          <w:rtl/>
        </w:rPr>
        <w:t xml:space="preserve">. </w:t>
      </w:r>
      <w:r w:rsidR="00E101B4" w:rsidRPr="00E101B4">
        <w:rPr>
          <w:rFonts w:ascii="Tahoma" w:hAnsi="Tahoma" w:cs="Tahoma"/>
          <w:rtl/>
        </w:rPr>
        <w:t xml:space="preserve">בנוסף, </w:t>
      </w:r>
      <w:r w:rsidR="00E101B4">
        <w:rPr>
          <w:rFonts w:ascii="Tahoma" w:hAnsi="Tahoma" w:cs="Tahoma" w:hint="cs"/>
          <w:rtl/>
        </w:rPr>
        <w:t>"</w:t>
      </w:r>
      <w:r w:rsidR="00E101B4" w:rsidRPr="00E101B4">
        <w:rPr>
          <w:rFonts w:ascii="Tahoma" w:hAnsi="Tahoma" w:cs="Tahoma"/>
          <w:rtl/>
        </w:rPr>
        <w:t xml:space="preserve">המועד להשלמת הבניה" שבחוזה החכירה יהיה </w:t>
      </w:r>
      <w:r w:rsidR="00E101B4" w:rsidRPr="00E101B4">
        <w:rPr>
          <w:rFonts w:ascii="Tahoma" w:hAnsi="Tahoma" w:cs="Tahoma"/>
          <w:b/>
          <w:bCs/>
          <w:rtl/>
        </w:rPr>
        <w:t>49</w:t>
      </w:r>
      <w:r w:rsidR="00E101B4" w:rsidRPr="00E101B4">
        <w:rPr>
          <w:rFonts w:ascii="Tahoma" w:hAnsi="Tahoma" w:cs="Tahoma"/>
          <w:rtl/>
        </w:rPr>
        <w:t xml:space="preserve"> חודשים מהמועד שבו הכריזה ועדת המכרזים על הזוכה במכרז</w:t>
      </w:r>
      <w:r w:rsidR="00E101B4">
        <w:rPr>
          <w:rFonts w:ascii="Tahoma" w:hAnsi="Tahoma" w:cs="Tahoma" w:hint="cs"/>
          <w:rtl/>
        </w:rPr>
        <w:t>.</w:t>
      </w:r>
    </w:p>
    <w:p w14:paraId="110CB590" w14:textId="77777777" w:rsidR="00100EFC" w:rsidRDefault="00100EFC" w:rsidP="00100EFC">
      <w:pPr>
        <w:pStyle w:val="a6"/>
        <w:ind w:left="1449" w:hanging="728"/>
        <w:jc w:val="both"/>
        <w:rPr>
          <w:rFonts w:ascii="Tahoma" w:hAnsi="Tahoma" w:cs="Tahoma"/>
          <w:rtl/>
        </w:rPr>
      </w:pPr>
    </w:p>
    <w:p w14:paraId="5E0BB04F" w14:textId="209CA71A" w:rsidR="00100EFC" w:rsidRDefault="00100EFC" w:rsidP="00100EFC">
      <w:pPr>
        <w:pStyle w:val="a6"/>
        <w:ind w:left="1449" w:hanging="728"/>
        <w:jc w:val="both"/>
        <w:rPr>
          <w:rFonts w:ascii="Tahoma" w:hAnsi="Tahoma" w:cs="Tahoma"/>
          <w:rtl/>
        </w:rPr>
      </w:pPr>
      <w:r>
        <w:rPr>
          <w:rFonts w:ascii="Tahoma" w:hAnsi="Tahoma" w:cs="Tahoma" w:hint="cs"/>
          <w:rtl/>
        </w:rPr>
        <w:t>4.8.7</w:t>
      </w:r>
      <w:r>
        <w:rPr>
          <w:rFonts w:ascii="Tahoma" w:hAnsi="Tahoma" w:cs="Tahoma"/>
          <w:rtl/>
        </w:rPr>
        <w:tab/>
      </w:r>
      <w:r>
        <w:rPr>
          <w:rFonts w:hint="cs"/>
          <w:rtl/>
        </w:rPr>
        <w:t>י</w:t>
      </w:r>
      <w:r w:rsidRPr="00E101B4">
        <w:rPr>
          <w:rFonts w:ascii="Tahoma" w:hAnsi="Tahoma" w:cs="Tahoma"/>
          <w:rtl/>
        </w:rPr>
        <w:t>דוע לחוכר</w:t>
      </w:r>
      <w:r>
        <w:rPr>
          <w:rFonts w:ascii="Tahoma" w:hAnsi="Tahoma" w:cs="Tahoma" w:hint="cs"/>
          <w:rtl/>
        </w:rPr>
        <w:t xml:space="preserve"> </w:t>
      </w:r>
      <w:r w:rsidRPr="00E101B4">
        <w:rPr>
          <w:rFonts w:ascii="Tahoma" w:hAnsi="Tahoma" w:cs="Tahoma"/>
          <w:rtl/>
        </w:rPr>
        <w:t>כי הקרקע מושא המכרז עברה פרצלציה (חלוקה) והפרצלציה נרשמה בלשכת רישום המקרקעין. על הזוכה יהיה לחתום במעמד החתימה על חוזה החכירה, גם על שטרי שכירות ולרשום את זכויותיו בלשכת רישום המקרקעין סמוך לאחר מועד החתימה על השטרות</w:t>
      </w:r>
      <w:r>
        <w:rPr>
          <w:rFonts w:ascii="Tahoma" w:hAnsi="Tahoma" w:cs="Tahoma" w:hint="cs"/>
          <w:rtl/>
        </w:rPr>
        <w:t xml:space="preserve">. </w:t>
      </w:r>
      <w:r w:rsidRPr="00E101B4">
        <w:rPr>
          <w:rFonts w:ascii="Tahoma" w:hAnsi="Tahoma" w:cs="Tahoma"/>
          <w:rtl/>
        </w:rPr>
        <w:t>למען הסר ספק, מוצהר ומובהר כי ידוע לזוכה, שלא יוכל להפנות אל הרשות את מי שירכוש ממנו זכויות בבית שיבנה על המגרש וכי כל פעולה שתחול עליו עפ"י החוזה ו/או מכח הדין, תבוצע על ידו ותירשם בלשכת רישום המקרקעין ולא במשרדי רשות מקרקעי ישראל וספריה</w:t>
      </w:r>
      <w:r>
        <w:rPr>
          <w:rFonts w:ascii="Tahoma" w:hAnsi="Tahoma" w:cs="Tahoma" w:hint="cs"/>
          <w:rtl/>
        </w:rPr>
        <w:t>.</w:t>
      </w:r>
    </w:p>
    <w:p w14:paraId="0E98441B" w14:textId="77777777" w:rsidR="00100EFC" w:rsidRDefault="00100EFC" w:rsidP="00100EFC">
      <w:pPr>
        <w:pStyle w:val="a6"/>
        <w:ind w:left="1449" w:hanging="728"/>
        <w:jc w:val="both"/>
        <w:rPr>
          <w:rFonts w:ascii="Tahoma" w:hAnsi="Tahoma" w:cs="Tahoma"/>
          <w:rtl/>
        </w:rPr>
      </w:pPr>
    </w:p>
    <w:p w14:paraId="094B3D8E" w14:textId="6C7FA398" w:rsidR="00100EFC" w:rsidRDefault="00100EFC" w:rsidP="00100EFC">
      <w:pPr>
        <w:pStyle w:val="a6"/>
        <w:ind w:left="1449" w:hanging="728"/>
        <w:jc w:val="both"/>
        <w:rPr>
          <w:rFonts w:ascii="Tahoma" w:hAnsi="Tahoma" w:cs="Tahoma"/>
          <w:rtl/>
        </w:rPr>
      </w:pPr>
      <w:r>
        <w:rPr>
          <w:rFonts w:ascii="Tahoma" w:hAnsi="Tahoma" w:cs="Tahoma" w:hint="cs"/>
          <w:rtl/>
        </w:rPr>
        <w:t>4.8.8</w:t>
      </w:r>
      <w:r>
        <w:rPr>
          <w:rFonts w:ascii="Tahoma" w:hAnsi="Tahoma" w:cs="Tahoma"/>
          <w:rtl/>
        </w:rPr>
        <w:tab/>
      </w:r>
      <w:r w:rsidRPr="00100EFC">
        <w:rPr>
          <w:rFonts w:ascii="Tahoma" w:hAnsi="Tahoma" w:cs="Tahoma"/>
          <w:rtl/>
        </w:rPr>
        <w:t>החוכר מצהיר ומתחייב כי היה והשטח מושא מכרז זה הוכרז ו/או יוכרז כאתר עתיקות ע"י רשות העתיקות, הוא יבצע את כל הפעולות הנדרשות עפ"י כל דין בנוגע לטיפול בעתיקות, ויישא על חשבונו בכל עלות הכרוכה בכך, לרבות בעלויות הפיקוח, סקר ארכיאולוגי, חפירות הבדיקה וחפירות ההצלה, שימור העתיקות והעתקתן, הכל</w:t>
      </w:r>
      <w:r>
        <w:rPr>
          <w:rFonts w:ascii="Tahoma" w:hAnsi="Tahoma" w:cs="Tahoma" w:hint="cs"/>
          <w:rtl/>
        </w:rPr>
        <w:t xml:space="preserve"> כפי שיידרש על ידי רשות העתיקות.</w:t>
      </w:r>
    </w:p>
    <w:p w14:paraId="4E4B7188" w14:textId="77777777" w:rsidR="00100EFC" w:rsidRDefault="00100EFC" w:rsidP="00100EFC">
      <w:pPr>
        <w:pStyle w:val="a6"/>
        <w:ind w:left="1449" w:hanging="728"/>
        <w:jc w:val="both"/>
        <w:rPr>
          <w:rFonts w:ascii="Tahoma" w:hAnsi="Tahoma" w:cs="Tahoma"/>
          <w:rtl/>
        </w:rPr>
      </w:pPr>
    </w:p>
    <w:p w14:paraId="78444ADF" w14:textId="2AB76B0F" w:rsidR="00100EFC" w:rsidRDefault="00100EFC" w:rsidP="00100EFC">
      <w:pPr>
        <w:pStyle w:val="a6"/>
        <w:ind w:left="679"/>
        <w:jc w:val="both"/>
        <w:rPr>
          <w:rFonts w:ascii="Tahoma" w:hAnsi="Tahoma" w:cs="Tahoma"/>
          <w:rtl/>
        </w:rPr>
      </w:pPr>
      <w:r w:rsidRPr="00E101B4">
        <w:rPr>
          <w:rFonts w:ascii="Tahoma" w:hAnsi="Tahoma" w:cs="Tahoma"/>
          <w:rtl/>
        </w:rPr>
        <w:t>החוכר מצהיר ומתחייב כי אין לו ולא תהיינה לו כל תביעות ו/או טענות ו/או דרישות, כספיות ו/או אחרות, לרבות דרישה לביטול העסקה כלפי הרשות ו/או מי מטעמה בגין התנאים המפורטים לעיל</w:t>
      </w:r>
      <w:r>
        <w:rPr>
          <w:rFonts w:ascii="Tahoma" w:hAnsi="Tahoma" w:cs="Tahoma" w:hint="cs"/>
          <w:rtl/>
        </w:rPr>
        <w:t>.</w:t>
      </w:r>
    </w:p>
    <w:p w14:paraId="5FE3E6F0" w14:textId="77777777" w:rsidR="00100EFC" w:rsidRDefault="00100EFC" w:rsidP="00100EFC">
      <w:pPr>
        <w:pStyle w:val="a6"/>
        <w:ind w:left="1449" w:hanging="728"/>
        <w:jc w:val="both"/>
        <w:rPr>
          <w:rFonts w:ascii="Tahoma" w:hAnsi="Tahoma" w:cs="Tahoma"/>
          <w:rtl/>
        </w:rPr>
      </w:pPr>
    </w:p>
    <w:p w14:paraId="081B7DD8" w14:textId="7727A346" w:rsidR="00E101B4" w:rsidRPr="00E101B4" w:rsidRDefault="00100EFC" w:rsidP="00100EFC">
      <w:pPr>
        <w:pStyle w:val="a6"/>
        <w:numPr>
          <w:ilvl w:val="0"/>
          <w:numId w:val="1"/>
        </w:numPr>
        <w:jc w:val="both"/>
        <w:rPr>
          <w:rFonts w:ascii="Tahoma" w:hAnsi="Tahoma" w:cs="Tahoma"/>
          <w:rtl/>
        </w:rPr>
      </w:pPr>
      <w:r>
        <w:rPr>
          <w:rFonts w:ascii="Tahoma" w:hAnsi="Tahoma" w:cs="Tahoma" w:hint="cs"/>
          <w:rtl/>
        </w:rPr>
        <w:t>בסעיף 3.4.1.5 להזמנה לקבלת הצעות יוחלפו המילים "48 חודשים" במילים "49 חודשים".</w:t>
      </w:r>
    </w:p>
    <w:p w14:paraId="06D23769" w14:textId="77777777" w:rsidR="00100EFC" w:rsidRDefault="00100EFC" w:rsidP="00100EFC">
      <w:pPr>
        <w:pStyle w:val="a6"/>
        <w:jc w:val="both"/>
        <w:rPr>
          <w:rFonts w:ascii="Tahoma" w:hAnsi="Tahoma" w:cs="Tahoma"/>
        </w:rPr>
      </w:pPr>
    </w:p>
    <w:p w14:paraId="3E7420CF" w14:textId="1E9F31FE" w:rsidR="00E101B4" w:rsidRDefault="00100EFC" w:rsidP="00E101B4">
      <w:pPr>
        <w:pStyle w:val="a6"/>
        <w:numPr>
          <w:ilvl w:val="0"/>
          <w:numId w:val="1"/>
        </w:numPr>
        <w:jc w:val="both"/>
        <w:rPr>
          <w:rFonts w:ascii="Tahoma" w:hAnsi="Tahoma" w:cs="Tahoma"/>
        </w:rPr>
      </w:pPr>
      <w:r>
        <w:rPr>
          <w:rFonts w:ascii="Tahoma" w:hAnsi="Tahoma" w:cs="Tahoma" w:hint="cs"/>
          <w:rtl/>
        </w:rPr>
        <w:t>נספח א(2) לחוברת המכרז "תשריט המתחם"</w:t>
      </w:r>
      <w:r w:rsidR="00767736">
        <w:rPr>
          <w:rFonts w:ascii="Tahoma" w:hAnsi="Tahoma" w:cs="Tahoma" w:hint="cs"/>
          <w:rtl/>
        </w:rPr>
        <w:t xml:space="preserve">, נספח א(16) לחוברת המכרז "נוסח חוזה לביצוע תשתית שייחתם עם עיריית ראשון לציון" </w:t>
      </w:r>
      <w:r>
        <w:rPr>
          <w:rFonts w:ascii="Tahoma" w:hAnsi="Tahoma" w:cs="Tahoma" w:hint="cs"/>
          <w:rtl/>
        </w:rPr>
        <w:t>וכן נספחים א(17) ו-א(18) לחוברת המכרז "מכתב הרשות המקומית" ו"מכתב תאגיד המים והביוב" (שאוחדו למכתב אחד משותף) עלו לאתר תחת "מסמכי המכרז".</w:t>
      </w:r>
    </w:p>
    <w:p w14:paraId="28E62885" w14:textId="77777777" w:rsidR="00E101B4" w:rsidRPr="00E101B4" w:rsidRDefault="00E101B4" w:rsidP="00E101B4">
      <w:pPr>
        <w:pStyle w:val="a6"/>
        <w:rPr>
          <w:rFonts w:ascii="Tahoma" w:hAnsi="Tahoma" w:cs="Tahoma"/>
          <w:rtl/>
        </w:rPr>
      </w:pPr>
    </w:p>
    <w:p w14:paraId="6FD06123" w14:textId="4E99B90C" w:rsidR="00051E19" w:rsidRPr="001041E0" w:rsidRDefault="00100EFC" w:rsidP="00051E19">
      <w:pPr>
        <w:spacing w:line="276" w:lineRule="auto"/>
        <w:jc w:val="both"/>
        <w:rPr>
          <w:rFonts w:ascii="Tahoma" w:hAnsi="Tahoma" w:cs="Tahoma"/>
          <w:rtl/>
        </w:rPr>
      </w:pPr>
      <w:r>
        <w:rPr>
          <w:rFonts w:ascii="Tahoma" w:hAnsi="Tahoma" w:cs="Tahoma" w:hint="cs"/>
          <w:rtl/>
        </w:rPr>
        <w:t>ב</w:t>
      </w:r>
      <w:r w:rsidR="00051E19" w:rsidRPr="001041E0">
        <w:rPr>
          <w:rFonts w:ascii="Tahoma" w:hAnsi="Tahoma" w:cs="Tahoma"/>
          <w:rtl/>
        </w:rPr>
        <w:t>יתר פרטי המכרז אין כל שינוי.</w:t>
      </w:r>
    </w:p>
    <w:p w14:paraId="233AFC1A" w14:textId="77777777" w:rsidR="00E101B4" w:rsidRPr="00E101B4" w:rsidRDefault="00E101B4" w:rsidP="00E101B4">
      <w:pPr>
        <w:jc w:val="both"/>
        <w:rPr>
          <w:rFonts w:ascii="Tahoma" w:hAnsi="Tahoma" w:cs="Tahoma"/>
          <w:rtl/>
        </w:rPr>
      </w:pPr>
    </w:p>
    <w:sectPr w:rsidR="00E101B4" w:rsidRPr="00E101B4" w:rsidSect="004B70A8">
      <w:pgSz w:w="11906" w:h="16838"/>
      <w:pgMar w:top="1440" w:right="1134" w:bottom="1440"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96AB7"/>
    <w:multiLevelType w:val="hybridMultilevel"/>
    <w:tmpl w:val="D492A5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577212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0B6"/>
    <w:rsid w:val="00012E2D"/>
    <w:rsid w:val="00051E19"/>
    <w:rsid w:val="00063BA2"/>
    <w:rsid w:val="000651D9"/>
    <w:rsid w:val="0007640B"/>
    <w:rsid w:val="00093022"/>
    <w:rsid w:val="000E0325"/>
    <w:rsid w:val="00100EFC"/>
    <w:rsid w:val="00103E75"/>
    <w:rsid w:val="001132B9"/>
    <w:rsid w:val="00131B44"/>
    <w:rsid w:val="001320B6"/>
    <w:rsid w:val="00152BF3"/>
    <w:rsid w:val="00155D3E"/>
    <w:rsid w:val="001749D4"/>
    <w:rsid w:val="0017673D"/>
    <w:rsid w:val="00182A4F"/>
    <w:rsid w:val="00190893"/>
    <w:rsid w:val="001B6055"/>
    <w:rsid w:val="001C5BC9"/>
    <w:rsid w:val="001D47F3"/>
    <w:rsid w:val="001E3258"/>
    <w:rsid w:val="001E3C24"/>
    <w:rsid w:val="00265848"/>
    <w:rsid w:val="002754D0"/>
    <w:rsid w:val="0029355F"/>
    <w:rsid w:val="002964A9"/>
    <w:rsid w:val="002A1493"/>
    <w:rsid w:val="002A7A83"/>
    <w:rsid w:val="002E11EC"/>
    <w:rsid w:val="002F5271"/>
    <w:rsid w:val="00343696"/>
    <w:rsid w:val="003459F8"/>
    <w:rsid w:val="00350962"/>
    <w:rsid w:val="0036094C"/>
    <w:rsid w:val="0038491B"/>
    <w:rsid w:val="003A0891"/>
    <w:rsid w:val="003B435E"/>
    <w:rsid w:val="003C1028"/>
    <w:rsid w:val="003E6EA2"/>
    <w:rsid w:val="003F28C6"/>
    <w:rsid w:val="0043123A"/>
    <w:rsid w:val="00432AB1"/>
    <w:rsid w:val="004609AA"/>
    <w:rsid w:val="00484194"/>
    <w:rsid w:val="004A5A6A"/>
    <w:rsid w:val="004B70A8"/>
    <w:rsid w:val="004D4B0B"/>
    <w:rsid w:val="004D57D6"/>
    <w:rsid w:val="004D5B6D"/>
    <w:rsid w:val="004D6EBE"/>
    <w:rsid w:val="004F1262"/>
    <w:rsid w:val="004F7C85"/>
    <w:rsid w:val="005005D6"/>
    <w:rsid w:val="00541810"/>
    <w:rsid w:val="005706DF"/>
    <w:rsid w:val="0059396D"/>
    <w:rsid w:val="005D5DE5"/>
    <w:rsid w:val="005F3A39"/>
    <w:rsid w:val="0062754A"/>
    <w:rsid w:val="00637EEB"/>
    <w:rsid w:val="00672084"/>
    <w:rsid w:val="00690F30"/>
    <w:rsid w:val="006943A0"/>
    <w:rsid w:val="006B5983"/>
    <w:rsid w:val="006E6456"/>
    <w:rsid w:val="00717E2F"/>
    <w:rsid w:val="00741D16"/>
    <w:rsid w:val="0075398C"/>
    <w:rsid w:val="00767736"/>
    <w:rsid w:val="007C6935"/>
    <w:rsid w:val="00816B57"/>
    <w:rsid w:val="00820743"/>
    <w:rsid w:val="00831F6C"/>
    <w:rsid w:val="008840F8"/>
    <w:rsid w:val="00886354"/>
    <w:rsid w:val="008B1912"/>
    <w:rsid w:val="008C04EB"/>
    <w:rsid w:val="008D54DC"/>
    <w:rsid w:val="009432BD"/>
    <w:rsid w:val="00952609"/>
    <w:rsid w:val="00953DCF"/>
    <w:rsid w:val="00955E11"/>
    <w:rsid w:val="00956D55"/>
    <w:rsid w:val="00965030"/>
    <w:rsid w:val="0098632C"/>
    <w:rsid w:val="009A7409"/>
    <w:rsid w:val="009C4ECE"/>
    <w:rsid w:val="009F1126"/>
    <w:rsid w:val="009F50DA"/>
    <w:rsid w:val="00A17223"/>
    <w:rsid w:val="00A200C6"/>
    <w:rsid w:val="00A47BDE"/>
    <w:rsid w:val="00A536D1"/>
    <w:rsid w:val="00A638CE"/>
    <w:rsid w:val="00A70900"/>
    <w:rsid w:val="00A81FF6"/>
    <w:rsid w:val="00AA60C9"/>
    <w:rsid w:val="00AF01C3"/>
    <w:rsid w:val="00B07C61"/>
    <w:rsid w:val="00B23C92"/>
    <w:rsid w:val="00B459E5"/>
    <w:rsid w:val="00B62AB1"/>
    <w:rsid w:val="00B9504D"/>
    <w:rsid w:val="00B97377"/>
    <w:rsid w:val="00BB3306"/>
    <w:rsid w:val="00BB3588"/>
    <w:rsid w:val="00BC5801"/>
    <w:rsid w:val="00BF5264"/>
    <w:rsid w:val="00CF019F"/>
    <w:rsid w:val="00D10474"/>
    <w:rsid w:val="00D1177B"/>
    <w:rsid w:val="00D3087E"/>
    <w:rsid w:val="00D42421"/>
    <w:rsid w:val="00D51712"/>
    <w:rsid w:val="00D54E47"/>
    <w:rsid w:val="00D619ED"/>
    <w:rsid w:val="00D8111D"/>
    <w:rsid w:val="00D84167"/>
    <w:rsid w:val="00D84CCD"/>
    <w:rsid w:val="00DA7D0A"/>
    <w:rsid w:val="00DC22BE"/>
    <w:rsid w:val="00DD628E"/>
    <w:rsid w:val="00E101B4"/>
    <w:rsid w:val="00E315E9"/>
    <w:rsid w:val="00E4227F"/>
    <w:rsid w:val="00E5011B"/>
    <w:rsid w:val="00E5137D"/>
    <w:rsid w:val="00E577D1"/>
    <w:rsid w:val="00E753F4"/>
    <w:rsid w:val="00E94B38"/>
    <w:rsid w:val="00EA6477"/>
    <w:rsid w:val="00EE4E38"/>
    <w:rsid w:val="00EF6415"/>
    <w:rsid w:val="00F213F4"/>
    <w:rsid w:val="00F31300"/>
    <w:rsid w:val="00F35AAF"/>
    <w:rsid w:val="00F47F98"/>
    <w:rsid w:val="00F5328F"/>
    <w:rsid w:val="00F62239"/>
    <w:rsid w:val="00FA5395"/>
    <w:rsid w:val="00FC12C9"/>
    <w:rsid w:val="00FD78C1"/>
    <w:rsid w:val="00FE0FD2"/>
    <w:rsid w:val="00FE497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1F06DB"/>
  <w15:chartTrackingRefBased/>
  <w15:docId w15:val="{A0425674-C290-4B35-AC40-41B4107BC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a">
    <w:name w:val="Normal"/>
    <w:qFormat/>
    <w:rsid w:val="001320B6"/>
    <w:pPr>
      <w:bidi/>
      <w:spacing w:after="0" w:line="240" w:lineRule="auto"/>
    </w:pPr>
    <w:rPr>
      <w:rFonts w:ascii="Times New Roman" w:eastAsia="Times New Roman" w:hAnsi="Times New Roman" w:cs="Miriam"/>
      <w:noProof/>
      <w:sz w:val="20"/>
      <w:szCs w:val="20"/>
    </w:rPr>
  </w:style>
  <w:style w:type="paragraph" w:styleId="1">
    <w:name w:val="heading 1"/>
    <w:basedOn w:val="a"/>
    <w:next w:val="a"/>
    <w:link w:val="10"/>
    <w:qFormat/>
    <w:rsid w:val="001320B6"/>
    <w:pPr>
      <w:keepNext/>
      <w:jc w:val="center"/>
      <w:outlineLvl w:val="0"/>
    </w:pPr>
    <w:rPr>
      <w:b/>
      <w:bCs/>
      <w:szCs w:val="28"/>
    </w:rPr>
  </w:style>
  <w:style w:type="paragraph" w:styleId="5">
    <w:name w:val="heading 5"/>
    <w:basedOn w:val="a"/>
    <w:next w:val="a"/>
    <w:link w:val="50"/>
    <w:qFormat/>
    <w:rsid w:val="001320B6"/>
    <w:pPr>
      <w:keepNext/>
      <w:jc w:val="both"/>
      <w:outlineLvl w:val="4"/>
    </w:pPr>
    <w:rPr>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basedOn w:val="a0"/>
    <w:link w:val="1"/>
    <w:rsid w:val="001320B6"/>
    <w:rPr>
      <w:rFonts w:ascii="Times New Roman" w:eastAsia="Times New Roman" w:hAnsi="Times New Roman" w:cs="Miriam"/>
      <w:b/>
      <w:bCs/>
      <w:noProof/>
      <w:sz w:val="20"/>
      <w:szCs w:val="28"/>
    </w:rPr>
  </w:style>
  <w:style w:type="character" w:customStyle="1" w:styleId="50">
    <w:name w:val="כותרת 5 תו"/>
    <w:basedOn w:val="a0"/>
    <w:link w:val="5"/>
    <w:rsid w:val="001320B6"/>
    <w:rPr>
      <w:rFonts w:ascii="Times New Roman" w:eastAsia="Times New Roman" w:hAnsi="Times New Roman" w:cs="Miriam"/>
      <w:noProof/>
      <w:sz w:val="20"/>
      <w:szCs w:val="24"/>
    </w:rPr>
  </w:style>
  <w:style w:type="table" w:styleId="a3">
    <w:name w:val="Table Grid"/>
    <w:basedOn w:val="a1"/>
    <w:uiPriority w:val="59"/>
    <w:rsid w:val="002964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65848"/>
    <w:rPr>
      <w:rFonts w:ascii="Tahoma" w:hAnsi="Tahoma" w:cs="Tahoma"/>
      <w:sz w:val="18"/>
      <w:szCs w:val="18"/>
    </w:rPr>
  </w:style>
  <w:style w:type="character" w:customStyle="1" w:styleId="a5">
    <w:name w:val="טקסט בלונים תו"/>
    <w:basedOn w:val="a0"/>
    <w:link w:val="a4"/>
    <w:uiPriority w:val="99"/>
    <w:semiHidden/>
    <w:rsid w:val="00265848"/>
    <w:rPr>
      <w:rFonts w:ascii="Tahoma" w:eastAsia="Times New Roman" w:hAnsi="Tahoma" w:cs="Tahoma"/>
      <w:noProof/>
      <w:sz w:val="18"/>
      <w:szCs w:val="18"/>
    </w:rPr>
  </w:style>
  <w:style w:type="table" w:styleId="3-1">
    <w:name w:val="List Table 3 Accent 1"/>
    <w:basedOn w:val="a1"/>
    <w:uiPriority w:val="48"/>
    <w:rsid w:val="000651D9"/>
    <w:pPr>
      <w:spacing w:after="0" w:line="240" w:lineRule="auto"/>
    </w:pPr>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b/>
        <w:bCs/>
        <w:color w:val="FFFFFF" w:themeColor="background1"/>
      </w:rPr>
      <w:tblPr/>
      <w:tcPr>
        <w:shd w:val="clear" w:color="auto" w:fill="5B9BD5" w:themeFill="accent1"/>
      </w:tcPr>
    </w:tblStylePr>
    <w:tblStylePr w:type="lastRow">
      <w:rPr>
        <w:b/>
        <w:bCs/>
      </w:rPr>
      <w:tblPr/>
      <w:tcPr>
        <w:tcBorders>
          <w:top w:val="double" w:sz="4" w:space="0" w:color="5B9BD5"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1"/>
          <w:right w:val="single" w:sz="4" w:space="0" w:color="5B9BD5" w:themeColor="accent1"/>
        </w:tcBorders>
      </w:tcPr>
    </w:tblStylePr>
    <w:tblStylePr w:type="band1Horz">
      <w:tblPr/>
      <w:tcPr>
        <w:tcBorders>
          <w:top w:val="single" w:sz="4" w:space="0" w:color="5B9BD5" w:themeColor="accent1"/>
          <w:bottom w:val="single" w:sz="4" w:space="0" w:color="5B9BD5"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1"/>
          <w:left w:val="nil"/>
        </w:tcBorders>
      </w:tcPr>
    </w:tblStylePr>
    <w:tblStylePr w:type="swCell">
      <w:tblPr/>
      <w:tcPr>
        <w:tcBorders>
          <w:top w:val="double" w:sz="4" w:space="0" w:color="5B9BD5" w:themeColor="accent1"/>
          <w:right w:val="nil"/>
        </w:tcBorders>
      </w:tcPr>
    </w:tblStylePr>
  </w:style>
  <w:style w:type="table" w:styleId="4-4">
    <w:name w:val="Grid Table 4 Accent 4"/>
    <w:basedOn w:val="a1"/>
    <w:uiPriority w:val="49"/>
    <w:rsid w:val="009C4EC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4-1">
    <w:name w:val="Grid Table 4 Accent 1"/>
    <w:basedOn w:val="a1"/>
    <w:uiPriority w:val="49"/>
    <w:rsid w:val="0007640B"/>
    <w:pPr>
      <w:spacing w:after="0" w:line="240" w:lineRule="auto"/>
    </w:pPr>
    <w:tblPr>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style>
  <w:style w:type="table" w:styleId="4-5">
    <w:name w:val="Grid Table 4 Accent 5"/>
    <w:basedOn w:val="a1"/>
    <w:uiPriority w:val="49"/>
    <w:rsid w:val="001E3C24"/>
    <w:pPr>
      <w:spacing w:after="0" w:line="240" w:lineRule="auto"/>
    </w:pPr>
    <w:tblPr>
      <w:tblStyleRowBandSize w:val="1"/>
      <w:tblStyleColBandSize w:val="1"/>
      <w:tblBorders>
        <w:top w:val="single" w:sz="4" w:space="0" w:color="8EAADB" w:themeColor="accent5" w:themeTint="99"/>
        <w:left w:val="single" w:sz="4" w:space="0" w:color="8EAADB" w:themeColor="accent5" w:themeTint="99"/>
        <w:bottom w:val="single" w:sz="4" w:space="0" w:color="8EAADB" w:themeColor="accent5" w:themeTint="99"/>
        <w:right w:val="single" w:sz="4" w:space="0" w:color="8EAADB" w:themeColor="accent5" w:themeTint="99"/>
        <w:insideH w:val="single" w:sz="4" w:space="0" w:color="8EAADB" w:themeColor="accent5" w:themeTint="99"/>
        <w:insideV w:val="single" w:sz="4" w:space="0" w:color="8EAADB" w:themeColor="accent5" w:themeTint="99"/>
      </w:tblBorders>
    </w:tblPr>
    <w:tblStylePr w:type="firstRow">
      <w:rPr>
        <w:b/>
        <w:bCs/>
        <w:color w:val="FFFFFF" w:themeColor="background1"/>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insideH w:val="nil"/>
          <w:insideV w:val="nil"/>
        </w:tcBorders>
        <w:shd w:val="clear" w:color="auto" w:fill="4472C4" w:themeFill="accent5"/>
      </w:tcPr>
    </w:tblStylePr>
    <w:tblStylePr w:type="lastRow">
      <w:rPr>
        <w:b/>
        <w:bCs/>
      </w:rPr>
      <w:tblPr/>
      <w:tcPr>
        <w:tcBorders>
          <w:top w:val="double" w:sz="4" w:space="0" w:color="4472C4" w:themeColor="accent5"/>
        </w:tcBorders>
      </w:tc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4-6">
    <w:name w:val="Grid Table 4 Accent 6"/>
    <w:basedOn w:val="a1"/>
    <w:uiPriority w:val="49"/>
    <w:rsid w:val="00093022"/>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customStyle="1" w:styleId="11">
    <w:name w:val="רשת טבלה1"/>
    <w:basedOn w:val="a1"/>
    <w:uiPriority w:val="39"/>
    <w:rsid w:val="002A7A83"/>
    <w:pPr>
      <w:spacing w:after="0" w:line="240" w:lineRule="auto"/>
    </w:pPr>
    <w:rPr>
      <w:rFonts w:ascii="Calibri" w:eastAsia="Calibri" w:hAnsi="Calibri" w:cs="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 Grid_0"/>
    <w:uiPriority w:val="59"/>
    <w:rsid w:val="008D01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E101B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641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pn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מסמך" ma:contentTypeID="0x0101002A6BDB07090D2844BF5242696429250B" ma:contentTypeVersion="2" ma:contentTypeDescription="צור מסמך חדש." ma:contentTypeScope="" ma:versionID="47e5a9d1d84c69883cd75283dc04bcb4">
  <xsd:schema xmlns:xsd="http://www.w3.org/2001/XMLSchema" xmlns:xs="http://www.w3.org/2001/XMLSchema" xmlns:p="http://schemas.microsoft.com/office/2006/metadata/properties" xmlns:ns2="e44da75e-97c9-40b5-9976-09e5b84b0828" targetNamespace="http://schemas.microsoft.com/office/2006/metadata/properties" ma:root="true" ma:fieldsID="3bfbbe19c4d9301b4f83ebb3bd6dbdd7" ns2:_="">
    <xsd:import namespace="e44da75e-97c9-40b5-9976-09e5b84b0828"/>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44da75e-97c9-40b5-9976-09e5b84b0828" elementFormDefault="qualified">
    <xsd:import namespace="http://schemas.microsoft.com/office/2006/documentManagement/types"/>
    <xsd:import namespace="http://schemas.microsoft.com/office/infopath/2007/PartnerControls"/>
    <xsd:element name="SharedWithUsers" ma:index="8"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משותף עם פרטים"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DE914EC-2301-4632-8380-7127F505205B}">
  <ds:schemaRefs>
    <ds:schemaRef ds:uri="http://schemas.microsoft.com/sharepoint/v3/contenttype/forms"/>
  </ds:schemaRefs>
</ds:datastoreItem>
</file>

<file path=customXml/itemProps2.xml><?xml version="1.0" encoding="utf-8"?>
<ds:datastoreItem xmlns:ds="http://schemas.openxmlformats.org/officeDocument/2006/customXml" ds:itemID="{0A40ACCB-926D-4CB7-8388-89A4EC208E6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A729F091-3D42-449A-9239-526D06FCD3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44da75e-97c9-40b5-9976-09e5b84b08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366</Words>
  <Characters>1832</Characters>
  <Application>Microsoft Office Word</Application>
  <DocSecurity>0</DocSecurity>
  <Lines>15</Lines>
  <Paragraphs>4</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הענא קוקר (LANNA)</dc:creator>
  <cp:lastModifiedBy>Sivan Biber | CBA LAW FIRM</cp:lastModifiedBy>
  <cp:revision>8</cp:revision>
  <cp:lastPrinted>2017-01-08T08:13:00Z</cp:lastPrinted>
  <dcterms:created xsi:type="dcterms:W3CDTF">2023-12-17T13:35:00Z</dcterms:created>
  <dcterms:modified xsi:type="dcterms:W3CDTF">2024-02-01T14:37:00Z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0x0101002A6BDB07090D2844BF5242696429250B</vt:lpwstr>
  </property>
  <property fmtid="{D5CDD505-2E9C-101B-9397-08002B2CF9AE}" pid="3" name="Creator">
    <vt:lpwstr>OdcanitPlatinum</vt:lpwstr>
  </property>
  <property fmtid="{D5CDD505-2E9C-101B-9397-08002B2CF9AE}" pid="4" name="PlatDBName">
    <vt:lpwstr>odlight</vt:lpwstr>
  </property>
  <property fmtid="{D5CDD505-2E9C-101B-9397-08002B2CF9AE}" pid="5" name="MachineName">
    <vt:lpwstr>SIVANB-DESKTOP</vt:lpwstr>
  </property>
  <property fmtid="{D5CDD505-2E9C-101B-9397-08002B2CF9AE}" pid="6" name="DocCounter">
    <vt:lpwstr>1398050</vt:lpwstr>
  </property>
</Properties>
</file>